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756" w:type="dxa"/>
        <w:jc w:val="left"/>
        <w:tblInd w:w="22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35"/>
        <w:gridCol w:w="6921"/>
      </w:tblGrid>
      <w:tr>
        <w:tblPrEx>
          <w:shd w:val="clear" w:color="auto" w:fill="d0ddef"/>
        </w:tblPrEx>
        <w:trPr>
          <w:trHeight w:val="1628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uppressAutoHyphens w:val="1"/>
              <w:jc w:val="center"/>
            </w:pPr>
            <w:r>
              <w:rPr>
                <w:rStyle w:val="Nessuno A"/>
                <w:rFonts w:ascii="Arial Black" w:hAnsi="Arial Black"/>
                <w:kern w:val="1"/>
                <w:sz w:val="28"/>
                <w:szCs w:val="2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685925" cy="923925"/>
                      <wp:effectExtent l="0" t="0" r="0" b="0"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925" cy="923925"/>
                                <a:chOff x="0" y="0"/>
                                <a:chExt cx="1685925" cy="923925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0" y="0"/>
                                  <a:ext cx="1685925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1.jpe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923925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132.8pt;height:72.8pt;" coordorigin="0,0" coordsize="1685925,923925">
                      <v:rect id="_x0000_s1027" style="position:absolute;left:0;top:0;width:1685925;height:923925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1685925;height:923925;">
                        <v:imagedata r:id="rId4" o:title="image1.jpeg"/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6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numPr>
                <w:ilvl w:val="0"/>
                <w:numId w:val="1"/>
              </w:numPr>
              <w:suppressAutoHyphens w:val="1"/>
              <w:spacing w:after="0" w:line="240" w:lineRule="auto"/>
              <w:jc w:val="center"/>
              <w:outlineLvl w:val="0"/>
              <w:rPr>
                <w:rStyle w:val="Nessuno A"/>
                <w:rFonts w:ascii="Arial Black" w:hAnsi="Arial Black"/>
                <w:kern w:val="1"/>
                <w:sz w:val="4"/>
                <w:szCs w:val="4"/>
                <w:lang w:val="it-IT"/>
              </w:rPr>
            </w:pPr>
          </w:p>
          <w:p>
            <w:pPr>
              <w:pStyle w:val="Normal.0"/>
              <w:keepNext w:val="1"/>
              <w:tabs>
                <w:tab w:val="left" w:pos="6025"/>
              </w:tabs>
              <w:suppressAutoHyphens w:val="1"/>
              <w:bidi w:val="0"/>
              <w:spacing w:after="0"/>
              <w:ind w:left="0" w:right="0" w:firstLine="0"/>
              <w:jc w:val="left"/>
              <w:outlineLvl w:val="0"/>
              <w:rPr>
                <w:rStyle w:val="Nessuno A"/>
                <w:rFonts w:ascii="Arial" w:cs="Arial" w:hAnsi="Arial" w:eastAsia="Arial"/>
                <w:b w:val="1"/>
                <w:bCs w:val="1"/>
                <w:kern w:val="1"/>
                <w:sz w:val="26"/>
                <w:szCs w:val="26"/>
                <w:rtl w:val="0"/>
              </w:rPr>
            </w:pPr>
            <w:r>
              <w:rPr>
                <w:rStyle w:val="Nessuno A"/>
                <w:rFonts w:ascii="Arial Black" w:hAnsi="Arial Black"/>
                <w:b w:val="0"/>
                <w:bCs w:val="0"/>
                <w:kern w:val="1"/>
                <w:sz w:val="30"/>
                <w:szCs w:val="30"/>
                <w:rtl w:val="0"/>
                <w:lang w:val="it-IT"/>
              </w:rPr>
              <w:t>COBAS - Comitati di Base della Scuola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/>
              <w:ind w:left="0" w:right="0" w:firstLine="0"/>
              <w:jc w:val="center"/>
              <w:rPr>
                <w:rStyle w:val="Nessuno A"/>
                <w:rFonts w:ascii="Arial" w:cs="Arial" w:hAnsi="Arial" w:eastAsia="Arial"/>
                <w:kern w:val="1"/>
                <w:rtl w:val="0"/>
              </w:rPr>
            </w:pPr>
            <w:r>
              <w:rPr>
                <w:rStyle w:val="Nessuno A"/>
                <w:rFonts w:ascii="Arial" w:hAnsi="Arial"/>
                <w:kern w:val="1"/>
                <w:sz w:val="26"/>
                <w:szCs w:val="26"/>
                <w:rtl w:val="0"/>
                <w:lang w:val="it-IT"/>
              </w:rPr>
              <w:t>sede nazionale: viale Manzoni, 55  - 00185 Roma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/>
              <w:ind w:left="0" w:right="0" w:firstLine="0"/>
              <w:jc w:val="center"/>
              <w:rPr>
                <w:rStyle w:val="Nessuno A"/>
                <w:rFonts w:ascii="Arial" w:cs="Arial" w:hAnsi="Arial" w:eastAsia="Arial"/>
                <w:kern w:val="1"/>
                <w:rtl w:val="0"/>
              </w:rPr>
            </w:pPr>
            <w:r>
              <w:rPr>
                <w:rStyle w:val="Nessuno A"/>
                <w:rFonts w:ascii="Arial" w:hAnsi="Arial"/>
                <w:kern w:val="1"/>
                <w:rtl w:val="0"/>
                <w:lang w:val="it-IT"/>
              </w:rPr>
              <w:t>tel 0670452452  -  tel/fax 0677206060</w:t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bidi w:val="0"/>
              <w:spacing w:after="0"/>
              <w:ind w:left="0" w:right="0" w:firstLine="0"/>
              <w:jc w:val="center"/>
              <w:rPr>
                <w:rStyle w:val="Nessuno A"/>
                <w:rFonts w:ascii="Arial" w:cs="Arial" w:hAnsi="Arial" w:eastAsia="Arial"/>
                <w:kern w:val="1"/>
                <w:rtl w:val="0"/>
              </w:rPr>
            </w:pPr>
            <w:r>
              <w:rPr>
                <w:rStyle w:val="Hyperlink.0"/>
                <w:rFonts w:ascii="Arial" w:hAnsi="Arial"/>
                <w:kern w:val="1"/>
                <w:rtl w:val="0"/>
                <w:lang w:val="fr-FR"/>
              </w:rPr>
              <w:t xml:space="preserve">sito: www.cobas-scuola.it - PEO: </w:t>
            </w:r>
            <w:r>
              <w:rPr>
                <w:rStyle w:val="Hyperlink.0"/>
                <w:rFonts w:ascii="Arial" w:cs="Arial" w:hAnsi="Arial" w:eastAsia="Arial"/>
                <w:kern w:val="1"/>
                <w:lang w:val="fr-FR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kern w:val="1"/>
                <w:lang w:val="fr-FR"/>
              </w:rPr>
              <w:instrText xml:space="preserve"> HYPERLINK "mailto:mail@cobas-scuola.org"</w:instrText>
            </w:r>
            <w:r>
              <w:rPr>
                <w:rStyle w:val="Hyperlink.0"/>
                <w:rFonts w:ascii="Arial" w:cs="Arial" w:hAnsi="Arial" w:eastAsia="Arial"/>
                <w:kern w:val="1"/>
                <w:lang w:val="fr-FR"/>
              </w:rPr>
              <w:fldChar w:fldCharType="separate" w:fldLock="0"/>
            </w:r>
            <w:r>
              <w:rPr>
                <w:rStyle w:val="Hyperlink.0"/>
                <w:rFonts w:ascii="Arial" w:hAnsi="Arial"/>
                <w:kern w:val="1"/>
                <w:rtl w:val="0"/>
                <w:lang w:val="fr-FR"/>
              </w:rPr>
              <w:t>mail@cobas-scuola.org</w:t>
            </w:r>
            <w:r>
              <w:rPr>
                <w:rFonts w:ascii="Arial" w:cs="Arial" w:hAnsi="Arial" w:eastAsia="Arial"/>
                <w:kern w:val="1"/>
              </w:rPr>
              <w:fldChar w:fldCharType="end" w:fldLock="0"/>
            </w:r>
          </w:p>
          <w:p>
            <w:pPr>
              <w:pStyle w:val="Normal.0"/>
              <w:widowControl w:val="0"/>
              <w:tabs>
                <w:tab w:val="left" w:pos="6025"/>
              </w:tabs>
              <w:suppressAutoHyphens w:val="1"/>
              <w:spacing w:after="0"/>
              <w:jc w:val="center"/>
            </w:pPr>
            <w:r>
              <w:rPr>
                <w:rStyle w:val="Hyperlink.1"/>
                <w:rFonts w:ascii="Arial" w:hAnsi="Arial"/>
                <w:kern w:val="1"/>
                <w:rtl w:val="0"/>
                <w:lang w:val="it-IT"/>
              </w:rPr>
              <w:t xml:space="preserve">PEC: </w:t>
            </w:r>
            <w:r>
              <w:rPr>
                <w:rStyle w:val="Hyperlink.1"/>
                <w:rFonts w:ascii="Arial" w:cs="Arial" w:hAnsi="Arial" w:eastAsia="Arial"/>
                <w:kern w:val="1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kern w:val="1"/>
                <w:lang w:val="it-IT"/>
              </w:rPr>
              <w:instrText xml:space="preserve"> HYPERLINK "mailto:esecutivonazionale@pec.cobas-scuola.eu"</w:instrText>
            </w:r>
            <w:r>
              <w:rPr>
                <w:rStyle w:val="Hyperlink.1"/>
                <w:rFonts w:ascii="Arial" w:cs="Arial" w:hAnsi="Arial" w:eastAsia="Arial"/>
                <w:kern w:val="1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kern w:val="1"/>
                <w:rtl w:val="0"/>
                <w:lang w:val="it-IT"/>
              </w:rPr>
              <w:t>esecutivonazionale@pec.cobas-scuola.eu</w:t>
            </w:r>
            <w:r>
              <w:rPr/>
              <w:fldChar w:fldCharType="end" w:fldLock="0"/>
            </w:r>
          </w:p>
        </w:tc>
      </w:tr>
    </w:tbl>
    <w:p>
      <w:pPr>
        <w:pStyle w:val="Normal.0"/>
        <w:widowControl w:val="0"/>
        <w:spacing w:line="240" w:lineRule="auto"/>
        <w:ind w:left="114" w:hanging="114"/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" w:hanging="6"/>
      </w:pPr>
    </w:p>
    <w:p>
      <w:pPr>
        <w:pStyle w:val="Normal.0"/>
        <w:widowControl w:val="0"/>
        <w:spacing w:line="240" w:lineRule="auto"/>
        <w:ind w:left="216" w:hanging="216"/>
      </w:pPr>
    </w:p>
    <w:p>
      <w:pPr>
        <w:pStyle w:val="Normal.0"/>
        <w:spacing w:after="0" w:line="276" w:lineRule="auto"/>
        <w:rPr>
          <w:rStyle w:val="Nessuno A"/>
          <w:b w:val="1"/>
          <w:bCs w:val="1"/>
          <w:sz w:val="28"/>
          <w:szCs w:val="28"/>
          <w:u w:val="single"/>
        </w:rPr>
      </w:pPr>
      <w:r>
        <w:rPr>
          <w:rStyle w:val="Nessuno A"/>
          <w:b w:val="1"/>
          <w:bCs w:val="1"/>
          <w:sz w:val="28"/>
          <w:szCs w:val="28"/>
          <w:u w:val="single"/>
          <w:rtl w:val="0"/>
          <w:lang w:val="it-IT"/>
        </w:rPr>
        <w:t>MOZIONE PER COLLEGIO DOCENTI  (su libert</w:t>
      </w:r>
      <w:r>
        <w:rPr>
          <w:rStyle w:val="Nessuno A"/>
          <w:b w:val="1"/>
          <w:bCs w:val="1"/>
          <w:sz w:val="28"/>
          <w:szCs w:val="28"/>
          <w:u w:val="single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8"/>
          <w:szCs w:val="28"/>
          <w:u w:val="single"/>
          <w:rtl w:val="0"/>
          <w:lang w:val="it-IT"/>
        </w:rPr>
        <w:t>di insegnamento e piattaforme)</w:t>
      </w:r>
    </w:p>
    <w:p>
      <w:pPr>
        <w:pStyle w:val="Normal.0"/>
        <w:spacing w:after="0" w:line="276" w:lineRule="auto"/>
        <w:jc w:val="both"/>
        <w:rPr>
          <w:rFonts w:ascii="Segoe UI" w:cs="Segoe UI" w:hAnsi="Segoe UI" w:eastAsia="Segoe UI"/>
          <w:sz w:val="24"/>
          <w:szCs w:val="24"/>
        </w:rPr>
      </w:pPr>
    </w:p>
    <w:p>
      <w:pPr>
        <w:pStyle w:val="Normal.0"/>
        <w:suppressAutoHyphens w:val="1"/>
        <w:spacing w:after="0" w:line="240" w:lineRule="auto"/>
        <w:jc w:val="right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suppressAutoHyphens w:val="1"/>
        <w:spacing w:after="0" w:line="240" w:lineRule="auto"/>
        <w:jc w:val="right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Al Collegio Docenti</w:t>
      </w:r>
    </w:p>
    <w:p>
      <w:pPr>
        <w:pStyle w:val="Normal.0"/>
        <w:suppressAutoHyphens w:val="1"/>
        <w:spacing w:after="0" w:line="240" w:lineRule="auto"/>
        <w:jc w:val="right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……………………</w:t>
      </w:r>
    </w:p>
    <w:p>
      <w:pPr>
        <w:pStyle w:val="Normal.0"/>
        <w:spacing w:line="276" w:lineRule="auto"/>
        <w:rPr>
          <w:rStyle w:val="Nessuno A"/>
          <w:b w:val="1"/>
          <w:bCs w:val="1"/>
          <w:kern w:val="1"/>
          <w:sz w:val="24"/>
          <w:szCs w:val="24"/>
        </w:rPr>
      </w:pPr>
      <w:r>
        <w:rPr>
          <w:rStyle w:val="Nessuno A"/>
          <w:b w:val="1"/>
          <w:bCs w:val="1"/>
          <w:sz w:val="24"/>
          <w:szCs w:val="24"/>
          <w:rtl w:val="0"/>
          <w:lang w:val="it-IT"/>
        </w:rPr>
        <w:t xml:space="preserve">Oggetto: mozione su </w:t>
      </w:r>
      <w:r>
        <w:rPr>
          <w:rStyle w:val="Nessuno A"/>
          <w:b w:val="1"/>
          <w:bCs w:val="1"/>
          <w:kern w:val="1"/>
          <w:sz w:val="24"/>
          <w:szCs w:val="24"/>
          <w:rtl w:val="0"/>
          <w:lang w:val="it-IT"/>
        </w:rPr>
        <w:t>“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>su libert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>di insegnamento e piattaforme</w:t>
      </w:r>
      <w:r>
        <w:rPr>
          <w:rStyle w:val="Nessuno A"/>
          <w:b w:val="1"/>
          <w:bCs w:val="1"/>
          <w:kern w:val="1"/>
          <w:sz w:val="24"/>
          <w:szCs w:val="24"/>
          <w:rtl w:val="0"/>
          <w:lang w:val="it-IT"/>
        </w:rPr>
        <w:t>”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I sottoscritti docenti, in merito al punto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……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. all'O.d.G in discussione nel Collegio dei docenti convocato in data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………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. </w:t>
      </w:r>
    </w:p>
    <w:p>
      <w:pPr>
        <w:pStyle w:val="Normal.0"/>
        <w:spacing w:after="0" w:line="276" w:lineRule="auto"/>
        <w:jc w:val="center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VISTO CHE</w:t>
      </w: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 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art. 33 della Costituzione Italiana sancisce che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L'arte e la scienza sono libere e libero ne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l'insegnamento. La Repubblica detta le norme generali sull'istruzione ed istituisce scuole statali per tutti gli ordini e gradi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.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”</w:t>
      </w: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  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art. 1 del DL 297/1994 al comma 1 ribadisce che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Nel rispetto delle norme costituzionali e degli ordinamenti della scuola stabiliti dal presente testo unico, ai docenti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garantita la libert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di insegnamento intesa come autonomia didattica e come libera espressione culturale del docente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”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, al comma 2  che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L'esercizio di tale libert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è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diretto a promuovere, attraverso un confronto aperto di posizioni culturali, la piena formazione della personalit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degli alunni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”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e infine al comma 3 che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E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’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garantita l'autonomia professionale nello svolgimento dell'attivit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didattica, scientifica e di ricerca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.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”</w:t>
      </w: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 il Decreto Legge n. 22 che norma le "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misure urgenti sulla regolare conclusione e l'ordinato avvio dell'anno scolastico e sullo svolgimento degli esami di Stato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", al comma 3, dell'art. 2 afferma che "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in corrispondenza della sospensione delle attivit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didattiche in presenza a seguito dell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emergenza epidemiologica, il personale docente assicura comunque le prestazioni didattiche nelle modalit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a distanza, utilizzando strumenti informatici o tecnologici a disposizione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".  </w:t>
      </w: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-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   che dal d.lgs. n. 165/2001 fino alla legge n. 107/2015 tutte le leggi o atti aventi forza di legge prevedono che i poteri del dirigente scolastico sono esercitati nel rispetto delle competenze degli organi collegiali;</w:t>
      </w: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-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   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art. 7 del T.U. assegna al Collegio dei docenti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potere deliberante in materia di funzionamento didattico del circolo o dell'istituto [...] Esso esercita tale potere nel rispetto della libert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di insegnamento garantita a ciascun docente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”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;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-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   nel d.l. n. 6/2020 non si rinvengono deroghe a tali previsioni legislative</w:t>
      </w:r>
    </w:p>
    <w:p>
      <w:pPr>
        <w:pStyle w:val="Normal.0"/>
        <w:spacing w:after="0" w:line="276" w:lineRule="auto"/>
        <w:jc w:val="both"/>
      </w:pP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-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   il D.L.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Cura Italia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”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17 marzo 2020, n. 18 all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articolo n.73 prevede dal 24 aprile che 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L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e sedute degli organi collegiali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delle istituzioni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scolastiche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ed educative di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ogni ordine e grado possono svolgersi in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videoconferenza, anche ove tale modalit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à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non sia stata prevista negli atti regolamentari interni di cui all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articolo 40 del testo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unico di cui al decreto legislativo 16 aprile1994, n..297...</w:t>
      </w:r>
      <w:r>
        <w:rPr>
          <w:rStyle w:val="Nessuno A"/>
          <w:rFonts w:ascii="Segoe UI" w:cs="Segoe UI" w:hAnsi="Segoe UI" w:eastAsia="Segoe UI"/>
          <w:color w:val="72bf44"/>
          <w:sz w:val="24"/>
          <w:szCs w:val="24"/>
          <w:u w:color="72bf44"/>
          <w:shd w:val="clear" w:color="auto" w:fill="ffffff"/>
          <w:rtl w:val="0"/>
          <w:lang w:val="it-IT"/>
        </w:rPr>
        <w:t>”</w:t>
      </w:r>
      <w:r>
        <w:rPr>
          <w:rStyle w:val="Nessuno A"/>
          <w:rFonts w:ascii="Segoe UI" w:cs="Segoe UI" w:hAnsi="Segoe UI" w:eastAsia="Segoe UI"/>
          <w:sz w:val="24"/>
          <w:szCs w:val="24"/>
          <w:shd w:val="clear" w:color="auto" w:fill="ffffff"/>
          <w:rtl w:val="0"/>
          <w:lang w:val="it-IT"/>
        </w:rPr>
        <w:t>ma solo a condizione che:</w:t>
      </w:r>
      <w:r>
        <w:rPr>
          <w:rStyle w:val="Nessuno A"/>
          <w:rFonts w:ascii="Segoe UI" w:cs="Segoe UI" w:hAnsi="Segoe UI" w:eastAsia="Segoe UI"/>
          <w:sz w:val="24"/>
          <w:szCs w:val="24"/>
          <w:shd w:val="clear" w:color="auto" w:fill="ffffff"/>
          <w:rtl w:val="0"/>
          <w:lang w:val="it-IT"/>
        </w:rPr>
        <w:t>”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 siano individuati sistemi che consentano di identificare con certezza i partecipanti, sia assicurata la regolarit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dello svolgimento delle sedute..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”</w:t>
      </w:r>
    </w:p>
    <w:p>
      <w:pPr>
        <w:pStyle w:val="Normal.0"/>
        <w:spacing w:after="0" w:line="276" w:lineRule="auto"/>
        <w:jc w:val="center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RITENUTO CHE</w:t>
      </w:r>
    </w:p>
    <w:p>
      <w:pPr>
        <w:pStyle w:val="Normal.0"/>
        <w:spacing w:after="0" w:line="276" w:lineRule="auto"/>
        <w:jc w:val="both"/>
        <w:rPr>
          <w:rFonts w:ascii="Segoe UI" w:cs="Segoe UI" w:hAnsi="Segoe UI" w:eastAsia="Segoe UI"/>
          <w:i w:val="1"/>
          <w:iCs w:val="1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 Le modalit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di svolgimento della didattica a distanza non possono essere imposte: i docenti sono liberi di scegliere le diverse modalit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e tecniche che ritengono pi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ù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opportune. </w:t>
      </w: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-La didattica a distanza, come dimostrato in questo periodo di emergenza, aumenta o crea ulteriori differenze sociali, che invece la scuola deve rimuovere ai sensi dell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art 3 della Costituzione;</w:t>
      </w: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 esiste il rischio di standardizzare, omologare i processi educativi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- attualmente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è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in corso un dibattito che riguarda la tutela dei soggetti fruitori delle piattaforme, prevalentemente minorenni, rispetto ai fornitori di servizi che divengono proprietari di una enorme quantit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di dati sensibili determinando una mancanza di sicurezza rispetto alle norme di tutela della privacy col rischio che questi dati possano servire per profilazione e marketing;</w:t>
      </w:r>
    </w:p>
    <w:p>
      <w:pPr>
        <w:pStyle w:val="Normal.0"/>
        <w:spacing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</w:t>
      </w:r>
      <w:r>
        <w:rPr>
          <w:rtl w:val="0"/>
          <w:lang w:val="it-IT"/>
        </w:rPr>
        <w:t xml:space="preserve"> q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uesti strumenti della DAD rischiano di ridurre la molteplice variet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dei significati che il linguaggio corporeo, visivo e parlato offre alla relazione educativa e all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apprendimento, riducendo la conoscenza a un algoritmo; controllano e condizionano il comportamento e 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apprendimento individuale attraverso la omologazione dei gesti nell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uso delle procedure e delle applicazioni.</w:t>
      </w:r>
    </w:p>
    <w:p>
      <w:pPr>
        <w:pStyle w:val="Normal.0"/>
        <w:spacing w:line="276" w:lineRule="auto"/>
        <w:jc w:val="center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PROPONGONO</w:t>
      </w:r>
    </w:p>
    <w:p>
      <w:pPr>
        <w:pStyle w:val="Normal.0"/>
        <w:spacing w:line="276" w:lineRule="auto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approvazione del collegio docenti la seguente mozione:</w:t>
      </w: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color w:val="72bf44"/>
          <w:sz w:val="24"/>
          <w:szCs w:val="24"/>
          <w:u w:color="72bf4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consapevoli dell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importanza di continuare a mantenere il contatto educativo con gli studenti e le studentesse, si impegnano, limitatamente alla durata dell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emergenza COVID19 caratterizzata dall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impossibilit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di attuare la regolare didattica in presenza, ad assicurare</w:t>
      </w:r>
      <w:r>
        <w:rPr>
          <w:rStyle w:val="Nessuno A"/>
          <w:rFonts w:ascii="Segoe UI" w:cs="Segoe UI" w:hAnsi="Segoe UI" w:eastAsia="Segoe UI"/>
          <w:color w:val="ff0000"/>
          <w:sz w:val="24"/>
          <w:szCs w:val="24"/>
          <w:u w:color="ff0000"/>
          <w:rtl w:val="0"/>
          <w:lang w:val="it-IT"/>
        </w:rPr>
        <w:t xml:space="preserve">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attivit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didattica a distanza nelle tempistiche, nelle forme e con le metodologie che riterranno opportune, utilizzando le piattaforme e gli strumenti informatici e tecnologici che riterranno pi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ù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consoni a tale attivit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à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, per garantire il diritto all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istruzione e per continuare a contribuire al percorso di crescita umana e culturale degli studenti e delle studentesse, nel pieno rispetto dalla libert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di insegnamento, come sancito dalla Costituzione.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”</w:t>
      </w:r>
    </w:p>
    <w:p>
      <w:pPr>
        <w:pStyle w:val="Normal.0"/>
        <w:spacing w:after="0" w:line="276" w:lineRule="auto"/>
        <w:jc w:val="both"/>
        <w:rPr>
          <w:rFonts w:ascii="Segoe UI" w:cs="Segoe UI" w:hAnsi="Segoe UI" w:eastAsia="Segoe UI"/>
          <w:sz w:val="24"/>
          <w:szCs w:val="24"/>
        </w:rPr>
      </w:pPr>
    </w:p>
    <w:p>
      <w:pPr>
        <w:pStyle w:val="Normal.0"/>
        <w:spacing w:after="0" w:line="276" w:lineRule="auto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</w:t>
      </w:r>
    </w:p>
    <w:p>
      <w:pPr>
        <w:pStyle w:val="Normal.0"/>
        <w:spacing w:after="0" w:line="276" w:lineRule="auto"/>
        <w:jc w:val="both"/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………………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.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………………………</w:t>
      </w:r>
    </w:p>
    <w:p>
      <w:pPr>
        <w:pStyle w:val="Normal.0"/>
        <w:suppressAutoHyphens w:val="1"/>
        <w:spacing w:after="0" w:line="240" w:lineRule="auto"/>
        <w:jc w:val="right"/>
        <w:rPr>
          <w:rFonts w:ascii="Segoe UI" w:cs="Segoe UI" w:hAnsi="Segoe UI" w:eastAsia="Segoe UI"/>
          <w:sz w:val="24"/>
          <w:szCs w:val="24"/>
        </w:rPr>
      </w:pPr>
    </w:p>
    <w:p>
      <w:pPr>
        <w:pStyle w:val="Normal.0"/>
        <w:suppressAutoHyphens w:val="1"/>
        <w:spacing w:after="0" w:line="240" w:lineRule="auto"/>
        <w:jc w:val="right"/>
        <w:rPr>
          <w:rFonts w:ascii="Segoe UI" w:cs="Segoe UI" w:hAnsi="Segoe UI" w:eastAsia="Segoe UI"/>
          <w:sz w:val="24"/>
          <w:szCs w:val="24"/>
        </w:rPr>
      </w:pPr>
    </w:p>
    <w:p>
      <w:pPr>
        <w:pStyle w:val="Normal.0"/>
        <w:suppressAutoHyphens w:val="1"/>
        <w:spacing w:after="0" w:line="240" w:lineRule="auto"/>
        <w:jc w:val="right"/>
        <w:rPr>
          <w:rFonts w:ascii="Segoe UI" w:cs="Segoe UI" w:hAnsi="Segoe UI" w:eastAsia="Segoe UI"/>
          <w:sz w:val="24"/>
          <w:szCs w:val="24"/>
        </w:rPr>
      </w:pPr>
    </w:p>
    <w:p>
      <w:pPr>
        <w:pStyle w:val="Normal.0"/>
        <w:suppressAutoHyphens w:val="1"/>
        <w:spacing w:after="0" w:line="240" w:lineRule="auto"/>
        <w:jc w:val="right"/>
        <w:rPr>
          <w:rFonts w:ascii="Segoe UI" w:cs="Segoe UI" w:hAnsi="Segoe UI" w:eastAsia="Segoe UI"/>
          <w:sz w:val="24"/>
          <w:szCs w:val="24"/>
        </w:rPr>
      </w:pPr>
    </w:p>
    <w:p>
      <w:pPr>
        <w:pStyle w:val="Normal.0"/>
        <w:suppressAutoHyphens w:val="1"/>
        <w:spacing w:after="0" w:line="240" w:lineRule="auto"/>
        <w:jc w:val="right"/>
        <w:rPr>
          <w:rFonts w:ascii="Segoe UI" w:cs="Segoe UI" w:hAnsi="Segoe UI" w:eastAsia="Segoe UI"/>
          <w:sz w:val="24"/>
          <w:szCs w:val="24"/>
        </w:rPr>
      </w:pPr>
    </w:p>
    <w:p>
      <w:pPr>
        <w:pStyle w:val="Normal.0"/>
        <w:suppressAutoHyphens w:val="1"/>
        <w:spacing w:after="0" w:line="240" w:lineRule="auto"/>
        <w:jc w:val="right"/>
        <w:rPr>
          <w:rFonts w:ascii="Segoe UI" w:cs="Segoe UI" w:hAnsi="Segoe UI" w:eastAsia="Segoe UI"/>
          <w:sz w:val="24"/>
          <w:szCs w:val="24"/>
        </w:rPr>
      </w:pPr>
    </w:p>
    <w:p>
      <w:pPr>
        <w:pStyle w:val="Normal.0"/>
        <w:spacing w:line="276" w:lineRule="auto"/>
        <w:rPr>
          <w:b w:val="1"/>
          <w:bCs w:val="1"/>
          <w:sz w:val="24"/>
          <w:szCs w:val="24"/>
        </w:rPr>
      </w:pPr>
    </w:p>
    <w:p>
      <w:pPr>
        <w:pStyle w:val="Normal.0"/>
        <w:spacing w:line="276" w:lineRule="auto"/>
        <w:rPr>
          <w:rStyle w:val="Nessuno A"/>
          <w:b w:val="1"/>
          <w:bCs w:val="1"/>
          <w:kern w:val="1"/>
          <w:sz w:val="24"/>
          <w:szCs w:val="24"/>
        </w:rPr>
      </w:pPr>
      <w:r>
        <w:rPr>
          <w:rStyle w:val="Nessuno A"/>
          <w:b w:val="1"/>
          <w:bCs w:val="1"/>
          <w:sz w:val="24"/>
          <w:szCs w:val="24"/>
          <w:rtl w:val="0"/>
          <w:lang w:val="it-IT"/>
        </w:rPr>
        <w:t xml:space="preserve">OPZIONE METODOLOGICA MINORITARIA SU </w:t>
      </w:r>
      <w:r>
        <w:rPr>
          <w:rStyle w:val="Nessuno A"/>
          <w:b w:val="1"/>
          <w:bCs w:val="1"/>
          <w:kern w:val="1"/>
          <w:sz w:val="24"/>
          <w:szCs w:val="24"/>
          <w:rtl w:val="0"/>
          <w:lang w:val="it-IT"/>
        </w:rPr>
        <w:t>“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>SU LIBERT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>DI INSEGNAMENTO E PIATTAFORME</w:t>
      </w:r>
      <w:r>
        <w:rPr>
          <w:rStyle w:val="Nessuno A"/>
          <w:b w:val="1"/>
          <w:bCs w:val="1"/>
          <w:kern w:val="1"/>
          <w:sz w:val="24"/>
          <w:szCs w:val="24"/>
          <w:rtl w:val="0"/>
          <w:lang w:val="it-IT"/>
        </w:rPr>
        <w:t>”</w:t>
      </w:r>
    </w:p>
    <w:p>
      <w:pPr>
        <w:pStyle w:val="Normal.0"/>
        <w:suppressAutoHyphens w:val="1"/>
        <w:spacing w:after="0" w:line="240" w:lineRule="auto"/>
        <w:jc w:val="right"/>
        <w:rPr>
          <w:rFonts w:ascii="Segoe UI" w:cs="Segoe UI" w:hAnsi="Segoe UI" w:eastAsia="Segoe UI"/>
          <w:sz w:val="24"/>
          <w:szCs w:val="24"/>
        </w:rPr>
      </w:pPr>
    </w:p>
    <w:p>
      <w:pPr>
        <w:pStyle w:val="Normal.0"/>
        <w:suppressAutoHyphens w:val="1"/>
        <w:spacing w:after="0" w:line="240" w:lineRule="auto"/>
        <w:jc w:val="right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suppressAutoHyphens w:val="1"/>
        <w:spacing w:after="0" w:line="240" w:lineRule="auto"/>
        <w:jc w:val="right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Al Collegio Docenti</w:t>
      </w:r>
    </w:p>
    <w:p>
      <w:pPr>
        <w:pStyle w:val="Normal.0"/>
        <w:suppressAutoHyphens w:val="1"/>
        <w:spacing w:after="0" w:line="240" w:lineRule="auto"/>
        <w:jc w:val="right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……………………</w:t>
      </w:r>
    </w:p>
    <w:p>
      <w:pPr>
        <w:pStyle w:val="Normal.0"/>
        <w:suppressAutoHyphens w:val="1"/>
        <w:spacing w:after="0" w:line="240" w:lineRule="auto"/>
        <w:jc w:val="right"/>
        <w:rPr>
          <w:rFonts w:ascii="Segoe UI" w:cs="Segoe UI" w:hAnsi="Segoe UI" w:eastAsia="Segoe UI"/>
          <w:sz w:val="24"/>
          <w:szCs w:val="24"/>
        </w:rPr>
      </w:pPr>
    </w:p>
    <w:p>
      <w:pPr>
        <w:pStyle w:val="Normal.0"/>
        <w:spacing w:line="276" w:lineRule="auto"/>
        <w:rPr>
          <w:rStyle w:val="Nessuno A"/>
          <w:b w:val="1"/>
          <w:bCs w:val="1"/>
          <w:kern w:val="1"/>
          <w:sz w:val="24"/>
          <w:szCs w:val="24"/>
        </w:rPr>
      </w:pPr>
      <w:r>
        <w:rPr>
          <w:rStyle w:val="Nessuno A"/>
          <w:b w:val="1"/>
          <w:bCs w:val="1"/>
          <w:sz w:val="24"/>
          <w:szCs w:val="24"/>
          <w:rtl w:val="0"/>
          <w:lang w:val="it-IT"/>
        </w:rPr>
        <w:t xml:space="preserve">Oggetto: opzione metodologica minoritaria su </w:t>
      </w:r>
      <w:r>
        <w:rPr>
          <w:rStyle w:val="Nessuno A"/>
          <w:b w:val="1"/>
          <w:bCs w:val="1"/>
          <w:kern w:val="1"/>
          <w:sz w:val="24"/>
          <w:szCs w:val="24"/>
          <w:rtl w:val="0"/>
          <w:lang w:val="it-IT"/>
        </w:rPr>
        <w:t>“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>su libert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4"/>
          <w:szCs w:val="24"/>
          <w:rtl w:val="0"/>
          <w:lang w:val="it-IT"/>
        </w:rPr>
        <w:t>di insegnamento e piattaforme</w:t>
      </w:r>
      <w:r>
        <w:rPr>
          <w:rStyle w:val="Nessuno A"/>
          <w:b w:val="1"/>
          <w:bCs w:val="1"/>
          <w:kern w:val="1"/>
          <w:sz w:val="24"/>
          <w:szCs w:val="24"/>
          <w:rtl w:val="0"/>
          <w:lang w:val="it-IT"/>
        </w:rPr>
        <w:t>”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I sottoscritti docenti, in merito al punto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……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. all'O.d.G in discussione nel Collegio dei docenti convocato in data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………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. </w:t>
      </w:r>
    </w:p>
    <w:p>
      <w:pPr>
        <w:pStyle w:val="Normal.0"/>
        <w:spacing w:after="0" w:line="240" w:lineRule="auto"/>
        <w:jc w:val="center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VISTO CHE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 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art. 33 della Costituzione Italiana sancisce che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L'arte e la scienza sono libere e libero ne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l'insegnamento. La Repubblica detta le norme generali sull'istruzione ed istituisce scuole statali per tutti gli ordini e gradi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.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”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  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art. 1 del DL 297/1994 al comma 1 ribadisce che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Nel rispetto delle norme costituzionali e degli ordinamenti della scuola stabiliti dal presente testo unico, ai docenti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garantita la libert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di insegnamento intesa come autonomia didattica e come libera espressione culturale del docente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”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, al comma 2  che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L'esercizio di tale libert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è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diretto a promuovere, attraverso un confronto aperto di posizioni culturali, la piena formazione della personalit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degli alunni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”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e infine al comma 3 che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E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’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garantita l'autonomia professionale nello svolgimento dell'attivit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didattica, scientifica e di ricerca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.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”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  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art. 1 Comma 14 della legge 107/2015 che modifica l'articolo 3 del DECRETO DEL PRESIDENTE DELLA REPUBBLICA 8 marzo 1999, n. 275 afferma che :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Il piano [triennale dell'offerta formativa, PTOF]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coerente con gli obiettivi generali ed educativi dei diversi tipi e indirizzi di studi, determinati a livello nazionale a norma dell'articolo 8, e riflette le esigenze del contesto culturale, sociale ed economico della realt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locale, tenendo conto della programmazione territoriale dell'offerta formativa. Esso comprende e riconosce le diverse opzioni metodologiche, anche di gruppi minoritari, valorizza le corrispondenti professionalit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e indica gli insegnamenti e le discipline tali da coprire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”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 il Decreto Legge n. 22 che norma le "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misure urgenti sulla regolare conclusione e l'ordinato avvio dell'anno scolastico e sullo svolgimento degli esami di Stato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", al comma 3, dell'art. 2 afferma che "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in corrispondenza della sospensione delle attivit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didattiche in presenza a seguito dell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emergenza epidemiologica, il personale docente assicura comunque le prestazioni didattiche nelle modalit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a distanza, utilizzando strumenti informatici o tecnologici a disposizione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".  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-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   che dal d.lgs. n. 165/2001 fino alla legge n. 107/2015 tutte le leggi o atti aventi forza di legge prevedono che i poteri del dirigente scolastico sono esercitati nel rispetto delle competenze degli organi collegiali;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-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   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art. 7 del T.U. assegna al Collegio dei docenti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potere deliberante in materia di funzionamento didattico del circolo o dell'istituto [...] Esso esercita tale potere nel rispetto della libert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di insegnamento garantita a ciascun docente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”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;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-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   nel d.l. n. 6/2020 non si rinvengono deroghe a tali previsioni legislative;</w:t>
      </w:r>
    </w:p>
    <w:p>
      <w:pPr>
        <w:pStyle w:val="Normal.0"/>
        <w:spacing w:after="0" w:line="240" w:lineRule="auto"/>
        <w:jc w:val="both"/>
      </w:pP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-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   il D.L.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Cura Italia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”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17 marzo 2020, n. 18 all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articolo n.73 prevede dal 24 aprile che 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“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rtl w:val="0"/>
          <w:lang w:val="it-IT"/>
        </w:rPr>
        <w:t>L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e sedute degli organi collegiali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delle istituzioni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scolastiche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ed educative di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ogni ordine e grado possono svolgersi in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videoconferenza, anche ove tale modalit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à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non sia stata prevista negli atti regolamentari interni di cui all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articolo 40 del testo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unico di cui al decreto legislativo 16 aprile1994, n..297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” </w:t>
      </w:r>
      <w:r>
        <w:rPr>
          <w:rStyle w:val="Nessuno A"/>
          <w:rFonts w:ascii="Segoe UI" w:cs="Segoe UI" w:hAnsi="Segoe UI" w:eastAsia="Segoe UI"/>
          <w:sz w:val="24"/>
          <w:szCs w:val="24"/>
          <w:shd w:val="clear" w:color="auto" w:fill="ffffff"/>
          <w:rtl w:val="0"/>
          <w:lang w:val="it-IT"/>
        </w:rPr>
        <w:t>ma solo a condizione che:</w:t>
      </w:r>
      <w:r>
        <w:rPr>
          <w:rStyle w:val="Nessuno A"/>
          <w:rFonts w:ascii="Segoe UI" w:cs="Segoe UI" w:hAnsi="Segoe UI" w:eastAsia="Segoe UI"/>
          <w:sz w:val="24"/>
          <w:szCs w:val="24"/>
          <w:shd w:val="clear" w:color="auto" w:fill="ffffff"/>
          <w:rtl w:val="0"/>
          <w:lang w:val="it-IT"/>
        </w:rPr>
        <w:t>”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 siano individuati sistemi che consentano di identificare con certezza i partecipanti, sia assicurata la regolarit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dello svolgimento delle sedute</w:t>
      </w:r>
      <w:r>
        <w:rPr>
          <w:rStyle w:val="Nessuno A"/>
          <w:rFonts w:ascii="Segoe UI" w:cs="Segoe UI" w:hAnsi="Segoe UI" w:eastAsia="Segoe UI"/>
          <w:i w:val="1"/>
          <w:iCs w:val="1"/>
          <w:sz w:val="24"/>
          <w:szCs w:val="24"/>
          <w:shd w:val="clear" w:color="auto" w:fill="ffffff"/>
          <w:rtl w:val="0"/>
          <w:lang w:val="it-IT"/>
        </w:rPr>
        <w:t>”</w:t>
      </w:r>
    </w:p>
    <w:p>
      <w:pPr>
        <w:pStyle w:val="Normal.0"/>
        <w:spacing w:after="0" w:line="240" w:lineRule="auto"/>
        <w:jc w:val="center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RITENUTO CHE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 Le modalit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di svolgimento della didattica a distanza non possono essere imposte: i docenti sono liberi di scegliere le diverse modalit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e tecniche e i tempi che ritengono pi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ù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opportuni. 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-La didattica a distanza, come dimostrato in questo periodo di emergenza, aumenta o crea ulteriori differenze sociali, che invece la scuola deve rimuovere ai sensi dell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art 3 della Costituzione;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 esiste il rischio di standardizzare, omologare i processi educativi</w:t>
      </w:r>
    </w:p>
    <w:p>
      <w:pPr>
        <w:pStyle w:val="Normal.0"/>
        <w:spacing w:after="0"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- attualmente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è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in corso un dibattito che riguarda la tutela dei soggetti fruitori delle piattaforme, prevalentemente minorenni, rispetto ai fornitori di servizi che divengono proprietari di una enorme quantit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di dati sensibili determinando una mancanza di sicurezza rispetto alle norme di tutela della privacy col rischio che questi dati possano servire per profilazione e marketing;</w:t>
      </w:r>
    </w:p>
    <w:p>
      <w:pPr>
        <w:pStyle w:val="Normal.0"/>
        <w:spacing w:line="240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-</w:t>
      </w:r>
      <w:r>
        <w:rPr>
          <w:rtl w:val="0"/>
          <w:lang w:val="it-IT"/>
        </w:rPr>
        <w:t xml:space="preserve"> q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uesti strumenti della DAD rischiano di ridurre la molteplice variet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dei significati che il linguaggio corporeo, visivo e parlato offre alla relazione educativa e all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apprendimento, riducendo la conoscenza a un algoritmo; controllano e condizionano il comportamento e 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apprendimento individuale attraverso la omologazione dei gesti nell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uso delle procedure e delle applicazioni.</w:t>
      </w: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sz w:val="24"/>
          <w:szCs w:val="24"/>
        </w:rPr>
      </w:pP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Tutto ci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 xml:space="preserve">ò 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premesso i sottoscritti, avvalendosi dell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sz w:val="24"/>
          <w:szCs w:val="24"/>
          <w:rtl w:val="0"/>
          <w:lang w:val="it-IT"/>
        </w:rPr>
        <w:t>opzione metodologica di gruppo minoritario ai sensi della Legge n. 107/2015, art. 1, comma 14 (ex art. 3 del Dpr. 275/99)</w:t>
      </w:r>
    </w:p>
    <w:p>
      <w:pPr>
        <w:pStyle w:val="Normal.0"/>
        <w:spacing w:after="0" w:line="276" w:lineRule="auto"/>
        <w:jc w:val="center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 xml:space="preserve">DICHIARANO </w:t>
      </w: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 xml:space="preserve">di essere 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consapevoli dell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importanza di continuare a mantenere il contatto educativo con gli studenti e le studentesse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 xml:space="preserve"> e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 xml:space="preserve"> si impegnano, limitatamente alla durata dell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emergenza COVID19 caratterizzata dall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impossibilit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di attuare la regolare didattica in presenza, ad assicurare l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attivit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didattica a distanza nelle tempistiche, nelle forme e con le metodologie che riterranno opportune, utilizzando le piattaforme e gli strumenti informatici e tecnologici che riterranno pi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consoni a tale attivit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à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, per garantire il diritto all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istruzione e per continuare a contribuire al percorso di crescita umana e culturale degli studenti e delle studentesse, nel pieno rispetto dalla libert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di insegnamento, come sancito dalla Costituzione.</w:t>
      </w:r>
    </w:p>
    <w:p>
      <w:pPr>
        <w:pStyle w:val="Normal.0"/>
        <w:spacing w:after="0" w:line="276" w:lineRule="auto"/>
        <w:jc w:val="both"/>
        <w:rPr>
          <w:rFonts w:ascii="Segoe UI" w:cs="Segoe UI" w:hAnsi="Segoe UI" w:eastAsia="Segoe UI"/>
          <w:b w:val="1"/>
          <w:bCs w:val="1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</w:rPr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Li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…………………</w:t>
      </w: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.</w:t>
      </w:r>
    </w:p>
    <w:p>
      <w:pPr>
        <w:pStyle w:val="Normal.0"/>
        <w:spacing w:after="0" w:line="276" w:lineRule="auto"/>
        <w:jc w:val="right"/>
      </w:pPr>
      <w:r>
        <w:rPr>
          <w:rStyle w:val="Nessuno A"/>
          <w:rFonts w:ascii="Segoe UI" w:cs="Segoe UI" w:hAnsi="Segoe UI" w:eastAsia="Segoe UI"/>
          <w:b w:val="1"/>
          <w:bCs w:val="1"/>
          <w:sz w:val="24"/>
          <w:szCs w:val="24"/>
          <w:rtl w:val="0"/>
          <w:lang w:val="it-IT"/>
        </w:rPr>
        <w:t>Firme</w:t>
      </w:r>
    </w:p>
    <w:sectPr>
      <w:headerReference w:type="default" r:id="rId5"/>
      <w:footerReference w:type="default" r:id="rId6"/>
      <w:pgSz w:w="11900" w:h="16840" w:orient="portrait"/>
      <w:pgMar w:top="993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602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025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602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6025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6025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6025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025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6025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 A">
    <w:name w:val="Nessuno A"/>
  </w:style>
  <w:style w:type="character" w:styleId="Hyperlink.0">
    <w:name w:val="Hyperlink.0"/>
    <w:basedOn w:val="Nessuno A"/>
    <w:rPr>
      <w:lang w:val="fr-FR"/>
    </w:rPr>
  </w:style>
  <w:style w:type="character" w:styleId="Hyperlink.1">
    <w:name w:val="Hyperlink.1"/>
    <w:basedOn w:val="Nessuno A"/>
    <w:rPr>
      <w:rFonts w:ascii="Arial" w:hAnsi="Arial"/>
      <w:kern w:val="1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